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0243B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Астана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қаласындағы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жасыл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екпелерді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күтіп-ұстау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қорғау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абаттандыру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қағидаларына</w:t>
      </w:r>
      <w:proofErr w:type="spellEnd"/>
    </w:p>
    <w:p w14:paraId="19BAC940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Түсінік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хат</w:t>
      </w:r>
    </w:p>
    <w:p w14:paraId="2DC75040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Қазақстан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Республикасы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Ұлттық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экономика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министрінің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Жасыл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екпелерді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күтіп-ұстау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қорғау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қалалар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елді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мекендердің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аумағын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абаттандыру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бекіту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2015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наурыздағы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 235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бұйрығы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жасыл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екпелерді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күтіп-ұстау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қорғау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абаттандыру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әзірлеуге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негіз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болды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2015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  29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сәуірдегі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10886  «</w:t>
      </w:r>
      <w:proofErr w:type="spellStart"/>
      <w:proofErr w:type="gramEnd"/>
      <w:r>
        <w:rPr>
          <w:rFonts w:ascii="Helvetica" w:hAnsi="Helvetica" w:cs="Helvetica"/>
          <w:color w:val="333333"/>
          <w:sz w:val="21"/>
          <w:szCs w:val="21"/>
        </w:rPr>
        <w:t>Жасыл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екпелерді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күтіп-ұстау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қорғау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қалалар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елді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мекендердің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аумағын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абаттандыру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үлгілік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бекіту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туралы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бұдан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әрі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Үлгілік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Қазақстан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Республикасының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Әділет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министрілігінде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бекітілді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25E8356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Үлгілік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сәйкес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2004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наурыздағы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№29/6-11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жасыл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екпелерді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күтіп-ұстау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қорғау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абаттандыру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қағидалары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2004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жылғы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30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наурыздағы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№28/6-111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қаласындағы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абаттандыру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санитарлық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күтіп-ұстау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жинау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жұмыстарын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ұйымдастыру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тазалықты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қамтамасыз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біріктірілді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EE15D27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Бөлімнен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244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тармақтан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тұрады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6BF4BA6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Технологиялық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ұсыныстарға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қайталауларға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қатысты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нормаларға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негізгі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өзгерістер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енгізілді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мәслихатының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ескертулеріне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аталған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нормалар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Қағидалардан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алынды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3C61F22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1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Бөлім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Жалпы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ережелер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>» -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Жоғарыда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аталған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екі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біріктіруге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жаңа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редакцияда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жазылды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2A530B3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Бөлімнен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басқа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пайдаланылатын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бірнеше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ұғымдарға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анықтамалар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нормативтік-құқықтық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актілерде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көрсетілуіне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алынды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649F23C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 т. 33 т.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толықтырылды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 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күту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режиміне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анықтама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берілді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Аталған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өзгеріс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Тазалық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ЖШС 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Коммуналдық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шаруашылық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басқармасы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ММ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бірнеше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өтініш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етуіне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қажет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Осы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тұрғыда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прокуратурасы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өткізген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бөлінген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бюджеттік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қаражатты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пайдалануды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тексеру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барысында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Тазалық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ЖШС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тарапынан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негізделмеген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шығындар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анықталды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нақты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тәулік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бойы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тазалайтын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күзет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машиналары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қатты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реагенттерін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бөлумен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шығындар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ЖШС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жоғарыда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аталған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іс-әректі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түсу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кезінде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немесе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басқа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жағымсыз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райы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жағдайында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жедел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әрекет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үшін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қажет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2DDEABE9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Сонымен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қатар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4 т 37 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толықтырылды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кәдеге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жарату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ұғымы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беріледі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Аталған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толықтыру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еріту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қондырғыларын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пайдаланумен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кейін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кәдеге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жарату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үшін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қабылдау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пунктерін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ұйымдастыруға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енгізілді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275D865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2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Бөлім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Жасыл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екпелерді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күтіп-ұстау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мен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қорғау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>» </w:t>
      </w:r>
      <w:r>
        <w:rPr>
          <w:rFonts w:ascii="Helvetica" w:hAnsi="Helvetica" w:cs="Helvetica"/>
          <w:color w:val="333333"/>
          <w:sz w:val="21"/>
          <w:szCs w:val="21"/>
        </w:rPr>
        <w:t xml:space="preserve">- 4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Параграфтан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тұрады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DFB70DD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Бөлімдегі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39 т,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нақты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белгілі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бір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талаптарды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ескеруге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сәйкес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отырғызу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материалын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қажеттілігін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көрсетумен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көгалдандыру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жобасында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автомобиль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жолдарының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құрылысын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жобалау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талаптар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анықталды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02257D6B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3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Бөлім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«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Қаланың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аумағын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абаттандыру</w:t>
      </w:r>
      <w:proofErr w:type="spellEnd"/>
      <w:r>
        <w:rPr>
          <w:rStyle w:val="a4"/>
          <w:rFonts w:ascii="Helvetica" w:hAnsi="Helvetica" w:cs="Helvetica"/>
          <w:color w:val="333333"/>
          <w:sz w:val="21"/>
          <w:szCs w:val="21"/>
        </w:rPr>
        <w:t>»</w:t>
      </w:r>
      <w:r>
        <w:rPr>
          <w:rFonts w:ascii="Helvetica" w:hAnsi="Helvetica" w:cs="Helvetica"/>
          <w:color w:val="333333"/>
          <w:sz w:val="21"/>
          <w:szCs w:val="21"/>
        </w:rPr>
        <w:t xml:space="preserve"> - 12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Параграфтан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тұрады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3492F03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Бөлімнен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жинау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ғимараттардығ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қасбеттерін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жаңартуға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қатысты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ұсыныстар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Апатты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жұмыстарды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жүргізу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параграфы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алынды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99D6852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Құрылыс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алаңдары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учаскелерін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күтіп-ұстау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7 параграф пен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аумағын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ашу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төсемдерін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жаяу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жүргіншілер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жолдарын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гүлзарларды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басқа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объектілердің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қалалық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шаруашылық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элементтерінің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бұзылуына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байланысты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жұмыстар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өндірісінің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тәртібі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8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параграфқа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толықтырулар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енгізілді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Сәлет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құрылысы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басқармасы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ММ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«Астана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қаласының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Сәулет-құрылыс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бақылау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басқармасы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ММ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ұсыныстары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</w:t>
      </w:r>
    </w:p>
    <w:p w14:paraId="06B807A8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Инженерлік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коммуникацияларды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және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құрылғыларды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күтіп-ұстау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 10 параграфы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жеке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бөлінді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5D0A60CA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Жобаның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өзге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бөлігінде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Үлгілік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қағидаларға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қайшылық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жоқ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72301E64" w14:textId="77777777" w:rsidR="00F221A8" w:rsidRDefault="00F221A8" w:rsidP="00F221A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Басшы                                                                                  Т. </w:t>
      </w:r>
      <w:proofErr w:type="spellStart"/>
      <w:r>
        <w:rPr>
          <w:rStyle w:val="a4"/>
          <w:rFonts w:ascii="Helvetica" w:hAnsi="Helvetica" w:cs="Helvetica"/>
          <w:color w:val="333333"/>
          <w:sz w:val="21"/>
          <w:szCs w:val="21"/>
        </w:rPr>
        <w:t>Закарьянов</w:t>
      </w:r>
      <w:proofErr w:type="spellEnd"/>
    </w:p>
    <w:p w14:paraId="3B0AC994" w14:textId="77777777" w:rsidR="00F221A8" w:rsidRDefault="00F221A8" w:rsidP="00F221A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hyperlink r:id="rId5" w:history="1"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Астана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қаласының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аумағындағы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жасыл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екпелерді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күтіп-ұстау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және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қорғау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,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абаттандыру</w:t>
        </w:r>
        <w:proofErr w:type="spellEnd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 xml:space="preserve"> </w:t>
        </w:r>
        <w:proofErr w:type="spellStart"/>
        <w:r>
          <w:rPr>
            <w:rStyle w:val="a5"/>
            <w:rFonts w:ascii="Helvetica" w:hAnsi="Helvetica" w:cs="Helvetica"/>
            <w:color w:val="1E4B78"/>
            <w:sz w:val="21"/>
            <w:szCs w:val="21"/>
          </w:rPr>
          <w:t>қағидалары</w:t>
        </w:r>
        <w:proofErr w:type="spellEnd"/>
      </w:hyperlink>
    </w:p>
    <w:p w14:paraId="25BACD78" w14:textId="77777777" w:rsidR="00697F4B" w:rsidRPr="00F221A8" w:rsidRDefault="00697F4B" w:rsidP="00F221A8">
      <w:bookmarkStart w:id="0" w:name="_GoBack"/>
      <w:bookmarkEnd w:id="0"/>
    </w:p>
    <w:sectPr w:rsidR="00697F4B" w:rsidRPr="00F2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BB9"/>
    <w:multiLevelType w:val="multilevel"/>
    <w:tmpl w:val="E19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0C720C"/>
    <w:rsid w:val="003020D6"/>
    <w:rsid w:val="004C638E"/>
    <w:rsid w:val="00697F4B"/>
    <w:rsid w:val="006F25CB"/>
    <w:rsid w:val="009F2854"/>
    <w:rsid w:val="00BD3345"/>
    <w:rsid w:val="00CA0779"/>
    <w:rsid w:val="00E12E0D"/>
    <w:rsid w:val="00F221A8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06A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lihat.astana.kz/uploads/Dokument/NPA_obshestv_sovet/Pravila-soderzhaniya-i-zashchity-zelenykh-nasazhdeniy-blagoustroystva-territorii-g.Astany_kaz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2019-10-22T09:34:00Z</dcterms:created>
  <dcterms:modified xsi:type="dcterms:W3CDTF">2019-10-22T10:26:00Z</dcterms:modified>
</cp:coreProperties>
</file>